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B08D6" w14:textId="3547D8ED" w:rsidR="00275AE3" w:rsidRPr="00B669A0" w:rsidRDefault="00B669A0" w:rsidP="00B669A0">
      <w:pPr>
        <w:spacing w:after="0"/>
        <w:jc w:val="center"/>
        <w:rPr>
          <w:b/>
          <w:bCs/>
          <w:lang w:val="en-GB"/>
        </w:rPr>
      </w:pPr>
      <w:r w:rsidRPr="00B669A0">
        <w:rPr>
          <w:b/>
          <w:bCs/>
          <w:lang w:val="en-GB"/>
        </w:rPr>
        <w:t>TARGETED STAKEHOLDER CONSULTATION 202</w:t>
      </w:r>
      <w:r w:rsidR="0038485A">
        <w:rPr>
          <w:b/>
          <w:bCs/>
          <w:lang w:val="en-GB"/>
        </w:rPr>
        <w:t>2</w:t>
      </w:r>
      <w:r w:rsidRPr="00B669A0">
        <w:rPr>
          <w:b/>
          <w:bCs/>
          <w:lang w:val="en-GB"/>
        </w:rPr>
        <w:t xml:space="preserve"> RULE OF LAW REPORT</w:t>
      </w:r>
    </w:p>
    <w:p w14:paraId="23699319" w14:textId="575C3A05" w:rsidR="00B669A0" w:rsidRPr="00B669A0" w:rsidRDefault="00B669A0" w:rsidP="00B669A0">
      <w:pPr>
        <w:spacing w:after="0"/>
        <w:jc w:val="center"/>
        <w:rPr>
          <w:b/>
          <w:bCs/>
          <w:lang w:val="en-AU"/>
        </w:rPr>
      </w:pPr>
      <w:r w:rsidRPr="00B669A0">
        <w:rPr>
          <w:b/>
          <w:bCs/>
          <w:lang w:val="en-AU"/>
        </w:rPr>
        <w:t>UN HUMAN RIGHTS REGIONAL OFFICE FOR EUROPE (OHCHR)</w:t>
      </w:r>
    </w:p>
    <w:p w14:paraId="56642246" w14:textId="77777777" w:rsidR="00B669A0" w:rsidRPr="00B669A0" w:rsidRDefault="00B669A0" w:rsidP="00B669A0">
      <w:pPr>
        <w:spacing w:after="0"/>
        <w:rPr>
          <w:b/>
          <w:bCs/>
          <w:lang w:val="en-AU"/>
        </w:rPr>
      </w:pPr>
    </w:p>
    <w:p w14:paraId="2AD8162A" w14:textId="290D91BE" w:rsidR="006A0353" w:rsidRPr="005F3805" w:rsidRDefault="005F3805" w:rsidP="005F3805">
      <w:pPr>
        <w:pBdr>
          <w:bottom w:val="single" w:sz="4" w:space="1" w:color="auto"/>
        </w:pBdr>
        <w:rPr>
          <w:b/>
          <w:bCs/>
          <w:lang w:val="en-GB"/>
        </w:rPr>
      </w:pPr>
      <w:r>
        <w:rPr>
          <w:b/>
          <w:lang w:val="en-AU"/>
        </w:rPr>
        <w:t>MALTA</w:t>
      </w:r>
      <w:r w:rsidR="00F302ED">
        <w:rPr>
          <w:b/>
          <w:lang w:val="en-AU"/>
        </w:rPr>
        <w:t xml:space="preserve"> </w:t>
      </w:r>
      <w:r w:rsidR="00B669A0" w:rsidRPr="0002213A">
        <w:rPr>
          <w:b/>
          <w:bCs/>
          <w:lang w:val="en-AU"/>
        </w:rPr>
        <w:t>REVIEW</w:t>
      </w:r>
    </w:p>
    <w:p w14:paraId="6AC1EDE9" w14:textId="77777777" w:rsidR="001B7CA2" w:rsidRPr="001B7CA2" w:rsidRDefault="001B7CA2" w:rsidP="001B7CA2">
      <w:pPr>
        <w:rPr>
          <w:lang w:val="en-GB"/>
        </w:rPr>
      </w:pPr>
      <w:r w:rsidRPr="001B7CA2">
        <w:rPr>
          <w:b/>
          <w:bCs/>
          <w:lang w:val="en-GB"/>
        </w:rPr>
        <w:t xml:space="preserve">IV. Other institutional issues related to checks and balances </w:t>
      </w:r>
    </w:p>
    <w:p w14:paraId="2CD0E4AE" w14:textId="77777777" w:rsidR="001B7CA2" w:rsidRPr="001B7CA2" w:rsidRDefault="001B7CA2" w:rsidP="001B7CA2">
      <w:pPr>
        <w:rPr>
          <w:lang w:val="en-GB"/>
        </w:rPr>
      </w:pPr>
      <w:r w:rsidRPr="001B7CA2">
        <w:rPr>
          <w:b/>
          <w:bCs/>
          <w:i/>
          <w:iCs/>
          <w:lang w:val="en-GB"/>
        </w:rPr>
        <w:t xml:space="preserve">A. The process for preparing and enacting laws </w:t>
      </w:r>
    </w:p>
    <w:p w14:paraId="52CD9F57" w14:textId="2EAE1321" w:rsidR="001B7CA2" w:rsidRPr="001B7CA2" w:rsidRDefault="001B7CA2" w:rsidP="001B7CA2">
      <w:pPr>
        <w:rPr>
          <w:lang w:val="en-GB"/>
        </w:rPr>
      </w:pPr>
      <w:r w:rsidRPr="001B7CA2">
        <w:rPr>
          <w:i/>
          <w:iCs/>
          <w:lang w:val="en-GB"/>
        </w:rPr>
        <w:t>4</w:t>
      </w:r>
      <w:r w:rsidR="00DC49B7">
        <w:rPr>
          <w:i/>
          <w:iCs/>
          <w:lang w:val="en-GB"/>
        </w:rPr>
        <w:t>2</w:t>
      </w:r>
      <w:r w:rsidRPr="001B7CA2">
        <w:rPr>
          <w:i/>
          <w:iCs/>
          <w:lang w:val="en-GB"/>
        </w:rPr>
        <w:t xml:space="preserve">. COVID-19: provide update on significant developments with regard to emergency regimes in the context of the COVID-19 pandemic </w:t>
      </w:r>
    </w:p>
    <w:p w14:paraId="3566BDE6" w14:textId="34C4469D" w:rsidR="001B7CA2" w:rsidRDefault="001B7CA2" w:rsidP="001B7CA2">
      <w:pPr>
        <w:rPr>
          <w:i/>
          <w:iCs/>
          <w:lang w:val="en-GB"/>
        </w:rPr>
      </w:pPr>
      <w:r w:rsidRPr="001B7CA2">
        <w:rPr>
          <w:lang w:val="en-GB"/>
        </w:rPr>
        <w:t xml:space="preserve">- </w:t>
      </w:r>
      <w:r w:rsidRPr="001B7CA2">
        <w:rPr>
          <w:i/>
          <w:iCs/>
          <w:lang w:val="en-GB"/>
        </w:rPr>
        <w:t xml:space="preserve">judicial review (including constitutional review) of emergency regimes and measures in the context of COVID-19 pandemic </w:t>
      </w:r>
    </w:p>
    <w:p w14:paraId="68D5D371" w14:textId="3AA9DE5A" w:rsidR="005F3805" w:rsidRPr="001B7CA2" w:rsidRDefault="005F3805" w:rsidP="00C07952">
      <w:pPr>
        <w:jc w:val="both"/>
        <w:rPr>
          <w:lang w:val="en-GB"/>
        </w:rPr>
      </w:pPr>
      <w:r w:rsidRPr="005F3805">
        <w:rPr>
          <w:lang w:val="en-GB"/>
        </w:rPr>
        <w:t xml:space="preserve">In April 2021, the Special Rapporteur on the independence of judges and lawyers in his report on “The coronavirus disease (COVID-19) pandemic: impact and challenges for independent justice” noted that Malta </w:t>
      </w:r>
      <w:r w:rsidR="00A82B74">
        <w:rPr>
          <w:lang w:val="en-GB"/>
        </w:rPr>
        <w:t>had</w:t>
      </w:r>
      <w:r w:rsidRPr="005F3805">
        <w:rPr>
          <w:lang w:val="en-GB"/>
        </w:rPr>
        <w:t xml:space="preserve"> decided to close all national courts and tribunals completely, partially reopening </w:t>
      </w:r>
      <w:r w:rsidR="00A82B74">
        <w:rPr>
          <w:lang w:val="en-GB"/>
        </w:rPr>
        <w:t xml:space="preserve">in </w:t>
      </w:r>
      <w:r w:rsidR="00167D3D">
        <w:rPr>
          <w:lang w:val="en-GB"/>
        </w:rPr>
        <w:t xml:space="preserve">June 2020. </w:t>
      </w:r>
      <w:r w:rsidRPr="005F3805">
        <w:rPr>
          <w:lang w:val="en-GB"/>
        </w:rPr>
        <w:t xml:space="preserve">National laws generally allow </w:t>
      </w:r>
      <w:proofErr w:type="gramStart"/>
      <w:r w:rsidRPr="005F3805">
        <w:rPr>
          <w:lang w:val="en-GB"/>
        </w:rPr>
        <w:t>for emergency</w:t>
      </w:r>
      <w:proofErr w:type="gramEnd"/>
      <w:r w:rsidRPr="005F3805">
        <w:rPr>
          <w:lang w:val="en-GB"/>
        </w:rPr>
        <w:t xml:space="preserve"> measures to be challenged in court. In Malta, the measures were subject to judicial review and certain measures were de</w:t>
      </w:r>
      <w:r w:rsidR="00167D3D">
        <w:rPr>
          <w:lang w:val="en-GB"/>
        </w:rPr>
        <w:t xml:space="preserve">clared </w:t>
      </w:r>
      <w:proofErr w:type="gramStart"/>
      <w:r w:rsidR="00167D3D">
        <w:rPr>
          <w:lang w:val="en-GB"/>
        </w:rPr>
        <w:t>to be unconstitutional (</w:t>
      </w:r>
      <w:hyperlink r:id="rId11" w:history="1">
        <w:r w:rsidR="00167D3D" w:rsidRPr="00167D3D">
          <w:rPr>
            <w:rStyle w:val="Hyperlink"/>
            <w:lang w:val="en-GB"/>
          </w:rPr>
          <w:t>A/HRC/47/35</w:t>
        </w:r>
        <w:proofErr w:type="gramEnd"/>
      </w:hyperlink>
      <w:r w:rsidRPr="005F3805">
        <w:rPr>
          <w:lang w:val="en-GB"/>
        </w:rPr>
        <w:t xml:space="preserve">, </w:t>
      </w:r>
      <w:bookmarkStart w:id="0" w:name="_GoBack"/>
      <w:r w:rsidRPr="005F3805">
        <w:rPr>
          <w:lang w:val="en-GB"/>
        </w:rPr>
        <w:t>para</w:t>
      </w:r>
      <w:r w:rsidR="00167D3D">
        <w:rPr>
          <w:lang w:val="en-GB"/>
        </w:rPr>
        <w:t>s. 17,</w:t>
      </w:r>
      <w:r w:rsidRPr="005F3805">
        <w:rPr>
          <w:lang w:val="en-GB"/>
        </w:rPr>
        <w:t xml:space="preserve"> 19).</w:t>
      </w:r>
      <w:bookmarkEnd w:id="0"/>
    </w:p>
    <w:p w14:paraId="418FEC9B" w14:textId="77777777" w:rsidR="001B7CA2" w:rsidRPr="001B7CA2" w:rsidRDefault="001B7CA2" w:rsidP="001B7CA2">
      <w:pPr>
        <w:rPr>
          <w:lang w:val="en-GB"/>
        </w:rPr>
      </w:pPr>
      <w:r w:rsidRPr="001B7CA2">
        <w:rPr>
          <w:lang w:val="en-GB"/>
        </w:rPr>
        <w:t xml:space="preserve">- </w:t>
      </w:r>
      <w:r w:rsidRPr="001B7CA2">
        <w:rPr>
          <w:i/>
          <w:iCs/>
          <w:lang w:val="en-GB"/>
        </w:rPr>
        <w:t xml:space="preserve">oversight by Parliament of emergency regimes and measures in the context of COVID-19 pandemic </w:t>
      </w:r>
    </w:p>
    <w:p w14:paraId="4974DE29" w14:textId="77777777" w:rsidR="001B7CA2" w:rsidRPr="001B7CA2" w:rsidRDefault="001B7CA2" w:rsidP="001B7CA2">
      <w:pPr>
        <w:rPr>
          <w:lang w:val="en-GB"/>
        </w:rPr>
      </w:pPr>
      <w:r w:rsidRPr="001B7CA2">
        <w:rPr>
          <w:lang w:val="en-GB"/>
        </w:rPr>
        <w:t xml:space="preserve">- </w:t>
      </w:r>
      <w:r w:rsidRPr="001B7CA2">
        <w:rPr>
          <w:i/>
          <w:iCs/>
          <w:lang w:val="en-GB"/>
        </w:rPr>
        <w:t xml:space="preserve">measures taken to ensure the continued activity of Parliament (including possible best practices) </w:t>
      </w:r>
    </w:p>
    <w:p w14:paraId="3170F293" w14:textId="77777777" w:rsidR="008C7A94" w:rsidRPr="008C7A94" w:rsidRDefault="008C7A94" w:rsidP="00E7579B">
      <w:pPr>
        <w:jc w:val="both"/>
        <w:rPr>
          <w:rFonts w:eastAsia="Calibri" w:cstheme="minorHAnsi"/>
          <w:sz w:val="20"/>
          <w:szCs w:val="24"/>
          <w:lang w:val="en-GB"/>
        </w:rPr>
      </w:pPr>
    </w:p>
    <w:sectPr w:rsidR="008C7A94" w:rsidRPr="008C7A94">
      <w:footerReference w:type="default" r:id="rId12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15DA6" w14:textId="77777777" w:rsidR="00E47C44" w:rsidRDefault="00E47C44" w:rsidP="00AB6BD8">
      <w:pPr>
        <w:spacing w:after="0" w:line="240" w:lineRule="auto"/>
      </w:pPr>
      <w:r>
        <w:separator/>
      </w:r>
    </w:p>
  </w:endnote>
  <w:endnote w:type="continuationSeparator" w:id="0">
    <w:p w14:paraId="51953FB2" w14:textId="77777777" w:rsidR="00E47C44" w:rsidRDefault="00E47C44" w:rsidP="00AB6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7187566"/>
      <w:docPartObj>
        <w:docPartGallery w:val="Page Numbers (Bottom of Page)"/>
        <w:docPartUnique/>
      </w:docPartObj>
    </w:sdtPr>
    <w:sdtEndPr/>
    <w:sdtContent>
      <w:p w14:paraId="0500433A" w14:textId="09C70C2F" w:rsidR="00ED7A10" w:rsidRDefault="00ED7A1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D3D" w:rsidRPr="00167D3D">
          <w:rPr>
            <w:noProof/>
            <w:lang w:val="fr-FR"/>
          </w:rPr>
          <w:t>1</w:t>
        </w:r>
        <w:r>
          <w:fldChar w:fldCharType="end"/>
        </w:r>
      </w:p>
    </w:sdtContent>
  </w:sdt>
  <w:p w14:paraId="1E65FFBB" w14:textId="77777777" w:rsidR="00ED7A10" w:rsidRDefault="00ED7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E4C7D" w14:textId="77777777" w:rsidR="00E47C44" w:rsidRDefault="00E47C44" w:rsidP="00AB6BD8">
      <w:pPr>
        <w:spacing w:after="0" w:line="240" w:lineRule="auto"/>
      </w:pPr>
      <w:r>
        <w:separator/>
      </w:r>
    </w:p>
  </w:footnote>
  <w:footnote w:type="continuationSeparator" w:id="0">
    <w:p w14:paraId="07C672F8" w14:textId="77777777" w:rsidR="00E47C44" w:rsidRDefault="00E47C44" w:rsidP="00AB6B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11E2"/>
    <w:multiLevelType w:val="hybridMultilevel"/>
    <w:tmpl w:val="794CE63E"/>
    <w:lvl w:ilvl="0" w:tplc="96666FE4">
      <w:start w:val="11"/>
      <w:numFmt w:val="decimal"/>
      <w:lvlText w:val="%1."/>
      <w:lvlJc w:val="left"/>
      <w:pPr>
        <w:ind w:left="1216" w:hanging="361"/>
      </w:pPr>
      <w:rPr>
        <w:rFonts w:ascii="Carlito" w:eastAsia="Carlito" w:hAnsi="Carlito" w:cs="Carlito" w:hint="default"/>
        <w:i/>
        <w:w w:val="100"/>
        <w:sz w:val="22"/>
        <w:szCs w:val="22"/>
        <w:lang w:val="en-US" w:eastAsia="en-US" w:bidi="ar-SA"/>
      </w:rPr>
    </w:lvl>
    <w:lvl w:ilvl="1" w:tplc="083A08A8">
      <w:numFmt w:val="bullet"/>
      <w:lvlText w:val="-"/>
      <w:lvlJc w:val="left"/>
      <w:pPr>
        <w:ind w:left="1575" w:hanging="36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2" w:tplc="6E0E7B2C">
      <w:numFmt w:val="bullet"/>
      <w:lvlText w:val="•"/>
      <w:lvlJc w:val="left"/>
      <w:pPr>
        <w:ind w:left="2442" w:hanging="360"/>
      </w:pPr>
      <w:rPr>
        <w:rFonts w:hint="default"/>
        <w:lang w:val="en-US" w:eastAsia="en-US" w:bidi="ar-SA"/>
      </w:rPr>
    </w:lvl>
    <w:lvl w:ilvl="3" w:tplc="A92472CC">
      <w:numFmt w:val="bullet"/>
      <w:lvlText w:val="•"/>
      <w:lvlJc w:val="left"/>
      <w:pPr>
        <w:ind w:left="3304" w:hanging="360"/>
      </w:pPr>
      <w:rPr>
        <w:rFonts w:hint="default"/>
        <w:lang w:val="en-US" w:eastAsia="en-US" w:bidi="ar-SA"/>
      </w:rPr>
    </w:lvl>
    <w:lvl w:ilvl="4" w:tplc="93C8C310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plc="E6FE1D9E">
      <w:numFmt w:val="bullet"/>
      <w:lvlText w:val="•"/>
      <w:lvlJc w:val="left"/>
      <w:pPr>
        <w:ind w:left="5028" w:hanging="360"/>
      </w:pPr>
      <w:rPr>
        <w:rFonts w:hint="default"/>
        <w:lang w:val="en-US" w:eastAsia="en-US" w:bidi="ar-SA"/>
      </w:rPr>
    </w:lvl>
    <w:lvl w:ilvl="6" w:tplc="A62C5E08">
      <w:numFmt w:val="bullet"/>
      <w:lvlText w:val="•"/>
      <w:lvlJc w:val="left"/>
      <w:pPr>
        <w:ind w:left="5890" w:hanging="360"/>
      </w:pPr>
      <w:rPr>
        <w:rFonts w:hint="default"/>
        <w:lang w:val="en-US" w:eastAsia="en-US" w:bidi="ar-SA"/>
      </w:rPr>
    </w:lvl>
    <w:lvl w:ilvl="7" w:tplc="E200C2BE">
      <w:numFmt w:val="bullet"/>
      <w:lvlText w:val="•"/>
      <w:lvlJc w:val="left"/>
      <w:pPr>
        <w:ind w:left="6752" w:hanging="360"/>
      </w:pPr>
      <w:rPr>
        <w:rFonts w:hint="default"/>
        <w:lang w:val="en-US" w:eastAsia="en-US" w:bidi="ar-SA"/>
      </w:rPr>
    </w:lvl>
    <w:lvl w:ilvl="8" w:tplc="65666046">
      <w:numFmt w:val="bullet"/>
      <w:lvlText w:val="•"/>
      <w:lvlJc w:val="left"/>
      <w:pPr>
        <w:ind w:left="761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4B224C5"/>
    <w:multiLevelType w:val="hybridMultilevel"/>
    <w:tmpl w:val="8BB2CF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1386F"/>
    <w:multiLevelType w:val="hybridMultilevel"/>
    <w:tmpl w:val="7F542AC4"/>
    <w:lvl w:ilvl="0" w:tplc="080C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52426AD4"/>
    <w:multiLevelType w:val="hybridMultilevel"/>
    <w:tmpl w:val="16900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36FE3"/>
    <w:multiLevelType w:val="hybridMultilevel"/>
    <w:tmpl w:val="0736FCEE"/>
    <w:lvl w:ilvl="0" w:tplc="040C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319AF"/>
    <w:multiLevelType w:val="hybridMultilevel"/>
    <w:tmpl w:val="F26A8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9327A"/>
    <w:multiLevelType w:val="hybridMultilevel"/>
    <w:tmpl w:val="C18CA3C6"/>
    <w:lvl w:ilvl="0" w:tplc="9B86EA64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204" w:hanging="360"/>
      </w:pPr>
    </w:lvl>
    <w:lvl w:ilvl="2" w:tplc="080C001B" w:tentative="1">
      <w:start w:val="1"/>
      <w:numFmt w:val="lowerRoman"/>
      <w:lvlText w:val="%3."/>
      <w:lvlJc w:val="right"/>
      <w:pPr>
        <w:ind w:left="3924" w:hanging="180"/>
      </w:pPr>
    </w:lvl>
    <w:lvl w:ilvl="3" w:tplc="080C000F" w:tentative="1">
      <w:start w:val="1"/>
      <w:numFmt w:val="decimal"/>
      <w:lvlText w:val="%4."/>
      <w:lvlJc w:val="left"/>
      <w:pPr>
        <w:ind w:left="4644" w:hanging="360"/>
      </w:pPr>
    </w:lvl>
    <w:lvl w:ilvl="4" w:tplc="080C0019" w:tentative="1">
      <w:start w:val="1"/>
      <w:numFmt w:val="lowerLetter"/>
      <w:lvlText w:val="%5."/>
      <w:lvlJc w:val="left"/>
      <w:pPr>
        <w:ind w:left="5364" w:hanging="360"/>
      </w:pPr>
    </w:lvl>
    <w:lvl w:ilvl="5" w:tplc="080C001B" w:tentative="1">
      <w:start w:val="1"/>
      <w:numFmt w:val="lowerRoman"/>
      <w:lvlText w:val="%6."/>
      <w:lvlJc w:val="right"/>
      <w:pPr>
        <w:ind w:left="6084" w:hanging="180"/>
      </w:pPr>
    </w:lvl>
    <w:lvl w:ilvl="6" w:tplc="080C000F" w:tentative="1">
      <w:start w:val="1"/>
      <w:numFmt w:val="decimal"/>
      <w:lvlText w:val="%7."/>
      <w:lvlJc w:val="left"/>
      <w:pPr>
        <w:ind w:left="6804" w:hanging="360"/>
      </w:pPr>
    </w:lvl>
    <w:lvl w:ilvl="7" w:tplc="080C0019" w:tentative="1">
      <w:start w:val="1"/>
      <w:numFmt w:val="lowerLetter"/>
      <w:lvlText w:val="%8."/>
      <w:lvlJc w:val="left"/>
      <w:pPr>
        <w:ind w:left="7524" w:hanging="360"/>
      </w:pPr>
    </w:lvl>
    <w:lvl w:ilvl="8" w:tplc="08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3D66480"/>
    <w:multiLevelType w:val="hybridMultilevel"/>
    <w:tmpl w:val="3C5012E0"/>
    <w:lvl w:ilvl="0" w:tplc="040C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86066"/>
    <w:multiLevelType w:val="hybridMultilevel"/>
    <w:tmpl w:val="54023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046DDE"/>
    <w:multiLevelType w:val="hybridMultilevel"/>
    <w:tmpl w:val="724648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81198"/>
    <w:multiLevelType w:val="hybridMultilevel"/>
    <w:tmpl w:val="58FC22E6"/>
    <w:lvl w:ilvl="0" w:tplc="0DFE1564">
      <w:start w:val="1"/>
      <w:numFmt w:val="upperLetter"/>
      <w:lvlText w:val="%1."/>
      <w:lvlJc w:val="left"/>
      <w:pPr>
        <w:ind w:left="544" w:hanging="428"/>
      </w:pPr>
      <w:rPr>
        <w:rFonts w:ascii="Carlito" w:eastAsia="Carlito" w:hAnsi="Carlito" w:cs="Carlito" w:hint="default"/>
        <w:b/>
        <w:bCs/>
        <w:i/>
        <w:w w:val="100"/>
        <w:sz w:val="22"/>
        <w:szCs w:val="22"/>
        <w:lang w:val="en-US" w:eastAsia="en-US" w:bidi="ar-SA"/>
      </w:rPr>
    </w:lvl>
    <w:lvl w:ilvl="1" w:tplc="0AB072B8">
      <w:start w:val="1"/>
      <w:numFmt w:val="decimal"/>
      <w:lvlText w:val="%2."/>
      <w:lvlJc w:val="left"/>
      <w:pPr>
        <w:ind w:left="1216" w:hanging="361"/>
      </w:pPr>
      <w:rPr>
        <w:rFonts w:ascii="Carlito" w:eastAsia="Carlito" w:hAnsi="Carlito" w:cs="Carlito" w:hint="default"/>
        <w:i/>
        <w:w w:val="100"/>
        <w:sz w:val="22"/>
        <w:szCs w:val="22"/>
        <w:lang w:val="en-US" w:eastAsia="en-US" w:bidi="ar-SA"/>
      </w:rPr>
    </w:lvl>
    <w:lvl w:ilvl="2" w:tplc="8F3A0722">
      <w:numFmt w:val="bullet"/>
      <w:lvlText w:val="•"/>
      <w:lvlJc w:val="left"/>
      <w:pPr>
        <w:ind w:left="2122" w:hanging="361"/>
      </w:pPr>
      <w:rPr>
        <w:rFonts w:hint="default"/>
        <w:lang w:val="en-US" w:eastAsia="en-US" w:bidi="ar-SA"/>
      </w:rPr>
    </w:lvl>
    <w:lvl w:ilvl="3" w:tplc="1480F00E">
      <w:numFmt w:val="bullet"/>
      <w:lvlText w:val="•"/>
      <w:lvlJc w:val="left"/>
      <w:pPr>
        <w:ind w:left="3024" w:hanging="361"/>
      </w:pPr>
      <w:rPr>
        <w:rFonts w:hint="default"/>
        <w:lang w:val="en-US" w:eastAsia="en-US" w:bidi="ar-SA"/>
      </w:rPr>
    </w:lvl>
    <w:lvl w:ilvl="4" w:tplc="E384BA4E">
      <w:numFmt w:val="bullet"/>
      <w:lvlText w:val="•"/>
      <w:lvlJc w:val="left"/>
      <w:pPr>
        <w:ind w:left="3926" w:hanging="361"/>
      </w:pPr>
      <w:rPr>
        <w:rFonts w:hint="default"/>
        <w:lang w:val="en-US" w:eastAsia="en-US" w:bidi="ar-SA"/>
      </w:rPr>
    </w:lvl>
    <w:lvl w:ilvl="5" w:tplc="C136F13C">
      <w:numFmt w:val="bullet"/>
      <w:lvlText w:val="•"/>
      <w:lvlJc w:val="left"/>
      <w:pPr>
        <w:ind w:left="4828" w:hanging="361"/>
      </w:pPr>
      <w:rPr>
        <w:rFonts w:hint="default"/>
        <w:lang w:val="en-US" w:eastAsia="en-US" w:bidi="ar-SA"/>
      </w:rPr>
    </w:lvl>
    <w:lvl w:ilvl="6" w:tplc="2F66E3D4">
      <w:numFmt w:val="bullet"/>
      <w:lvlText w:val="•"/>
      <w:lvlJc w:val="left"/>
      <w:pPr>
        <w:ind w:left="5730" w:hanging="361"/>
      </w:pPr>
      <w:rPr>
        <w:rFonts w:hint="default"/>
        <w:lang w:val="en-US" w:eastAsia="en-US" w:bidi="ar-SA"/>
      </w:rPr>
    </w:lvl>
    <w:lvl w:ilvl="7" w:tplc="E8E066A4">
      <w:numFmt w:val="bullet"/>
      <w:lvlText w:val="•"/>
      <w:lvlJc w:val="left"/>
      <w:pPr>
        <w:ind w:left="6632" w:hanging="361"/>
      </w:pPr>
      <w:rPr>
        <w:rFonts w:hint="default"/>
        <w:lang w:val="en-US" w:eastAsia="en-US" w:bidi="ar-SA"/>
      </w:rPr>
    </w:lvl>
    <w:lvl w:ilvl="8" w:tplc="319A7012">
      <w:numFmt w:val="bullet"/>
      <w:lvlText w:val="•"/>
      <w:lvlJc w:val="left"/>
      <w:pPr>
        <w:ind w:left="7534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6FE8771B"/>
    <w:multiLevelType w:val="hybridMultilevel"/>
    <w:tmpl w:val="C7409BE2"/>
    <w:lvl w:ilvl="0" w:tplc="2E90B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9"/>
  </w:num>
  <w:num w:numId="8">
    <w:abstractNumId w:val="8"/>
  </w:num>
  <w:num w:numId="9">
    <w:abstractNumId w:val="10"/>
  </w:num>
  <w:num w:numId="10">
    <w:abstractNumId w:val="4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fr-B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BE" w:vendorID="64" w:dllVersion="131078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9B"/>
    <w:rsid w:val="0002213A"/>
    <w:rsid w:val="00024911"/>
    <w:rsid w:val="000555C4"/>
    <w:rsid w:val="00094650"/>
    <w:rsid w:val="000B034D"/>
    <w:rsid w:val="000D06BF"/>
    <w:rsid w:val="000E3E0A"/>
    <w:rsid w:val="000E4ACA"/>
    <w:rsid w:val="000E4D1E"/>
    <w:rsid w:val="000E58CC"/>
    <w:rsid w:val="000F7447"/>
    <w:rsid w:val="000F74F4"/>
    <w:rsid w:val="00102288"/>
    <w:rsid w:val="00120AE3"/>
    <w:rsid w:val="00125B2C"/>
    <w:rsid w:val="00137F92"/>
    <w:rsid w:val="00144770"/>
    <w:rsid w:val="00147BF9"/>
    <w:rsid w:val="0015004A"/>
    <w:rsid w:val="00152098"/>
    <w:rsid w:val="00165AFF"/>
    <w:rsid w:val="00167D3D"/>
    <w:rsid w:val="001868E0"/>
    <w:rsid w:val="00195595"/>
    <w:rsid w:val="001A17C6"/>
    <w:rsid w:val="001B7CA2"/>
    <w:rsid w:val="001C79A2"/>
    <w:rsid w:val="001C7CCF"/>
    <w:rsid w:val="001E08DC"/>
    <w:rsid w:val="001E0C79"/>
    <w:rsid w:val="001E2105"/>
    <w:rsid w:val="002057FA"/>
    <w:rsid w:val="00206A47"/>
    <w:rsid w:val="00221C79"/>
    <w:rsid w:val="00231F28"/>
    <w:rsid w:val="00235A91"/>
    <w:rsid w:val="002430D2"/>
    <w:rsid w:val="0024664D"/>
    <w:rsid w:val="00251082"/>
    <w:rsid w:val="00252C8E"/>
    <w:rsid w:val="002668EA"/>
    <w:rsid w:val="00275AE3"/>
    <w:rsid w:val="00293C29"/>
    <w:rsid w:val="00294805"/>
    <w:rsid w:val="002953FF"/>
    <w:rsid w:val="002969C5"/>
    <w:rsid w:val="002C15AB"/>
    <w:rsid w:val="002C3ADB"/>
    <w:rsid w:val="002C4AD7"/>
    <w:rsid w:val="002D45D1"/>
    <w:rsid w:val="0030165D"/>
    <w:rsid w:val="00334386"/>
    <w:rsid w:val="003619BB"/>
    <w:rsid w:val="00364DD8"/>
    <w:rsid w:val="00383787"/>
    <w:rsid w:val="003843E1"/>
    <w:rsid w:val="0038485A"/>
    <w:rsid w:val="003B4F07"/>
    <w:rsid w:val="003D7999"/>
    <w:rsid w:val="003F19B1"/>
    <w:rsid w:val="00405880"/>
    <w:rsid w:val="00445679"/>
    <w:rsid w:val="00447DF5"/>
    <w:rsid w:val="00451BE5"/>
    <w:rsid w:val="00462100"/>
    <w:rsid w:val="004809CC"/>
    <w:rsid w:val="00491A44"/>
    <w:rsid w:val="004A0573"/>
    <w:rsid w:val="004A4D25"/>
    <w:rsid w:val="004B26B9"/>
    <w:rsid w:val="004B60DD"/>
    <w:rsid w:val="004C0B1F"/>
    <w:rsid w:val="004E2A0C"/>
    <w:rsid w:val="004E2D35"/>
    <w:rsid w:val="004E5D2F"/>
    <w:rsid w:val="004F0EE1"/>
    <w:rsid w:val="005078D2"/>
    <w:rsid w:val="00561741"/>
    <w:rsid w:val="00564A5D"/>
    <w:rsid w:val="00572CAC"/>
    <w:rsid w:val="00572D29"/>
    <w:rsid w:val="00576122"/>
    <w:rsid w:val="00592F7B"/>
    <w:rsid w:val="005936DA"/>
    <w:rsid w:val="00595A34"/>
    <w:rsid w:val="005A53B1"/>
    <w:rsid w:val="005C4199"/>
    <w:rsid w:val="005F3805"/>
    <w:rsid w:val="00600F16"/>
    <w:rsid w:val="0061181D"/>
    <w:rsid w:val="00621476"/>
    <w:rsid w:val="00633DEB"/>
    <w:rsid w:val="0064596A"/>
    <w:rsid w:val="00656276"/>
    <w:rsid w:val="006614B5"/>
    <w:rsid w:val="0066480F"/>
    <w:rsid w:val="00694C36"/>
    <w:rsid w:val="006A0353"/>
    <w:rsid w:val="006B2EEF"/>
    <w:rsid w:val="006F10BF"/>
    <w:rsid w:val="00726393"/>
    <w:rsid w:val="0074007C"/>
    <w:rsid w:val="007467E2"/>
    <w:rsid w:val="00753FA0"/>
    <w:rsid w:val="00757085"/>
    <w:rsid w:val="0079724B"/>
    <w:rsid w:val="007B53B4"/>
    <w:rsid w:val="007D7490"/>
    <w:rsid w:val="007F1F30"/>
    <w:rsid w:val="007F529E"/>
    <w:rsid w:val="0080379C"/>
    <w:rsid w:val="00812CA6"/>
    <w:rsid w:val="00815599"/>
    <w:rsid w:val="00820269"/>
    <w:rsid w:val="00824724"/>
    <w:rsid w:val="0083739F"/>
    <w:rsid w:val="008526FE"/>
    <w:rsid w:val="008628EF"/>
    <w:rsid w:val="00867498"/>
    <w:rsid w:val="00867CBB"/>
    <w:rsid w:val="0088139C"/>
    <w:rsid w:val="008A1B74"/>
    <w:rsid w:val="008A7229"/>
    <w:rsid w:val="008B50CB"/>
    <w:rsid w:val="008B5DE9"/>
    <w:rsid w:val="008C4411"/>
    <w:rsid w:val="008C7A94"/>
    <w:rsid w:val="008D7F8C"/>
    <w:rsid w:val="008E4FD7"/>
    <w:rsid w:val="008E537C"/>
    <w:rsid w:val="008F5F0F"/>
    <w:rsid w:val="008F689A"/>
    <w:rsid w:val="00916B8E"/>
    <w:rsid w:val="00923EBE"/>
    <w:rsid w:val="0093358F"/>
    <w:rsid w:val="009441AD"/>
    <w:rsid w:val="00951DEB"/>
    <w:rsid w:val="00962913"/>
    <w:rsid w:val="0096772C"/>
    <w:rsid w:val="00991323"/>
    <w:rsid w:val="00997215"/>
    <w:rsid w:val="009C040C"/>
    <w:rsid w:val="009C6B9F"/>
    <w:rsid w:val="009D1508"/>
    <w:rsid w:val="009E48E9"/>
    <w:rsid w:val="00A1060B"/>
    <w:rsid w:val="00A10A1E"/>
    <w:rsid w:val="00A118BB"/>
    <w:rsid w:val="00A2011E"/>
    <w:rsid w:val="00A33884"/>
    <w:rsid w:val="00A82B74"/>
    <w:rsid w:val="00A8576F"/>
    <w:rsid w:val="00A95DE7"/>
    <w:rsid w:val="00AB39DD"/>
    <w:rsid w:val="00AB4073"/>
    <w:rsid w:val="00AB6BD8"/>
    <w:rsid w:val="00AD14BD"/>
    <w:rsid w:val="00AD5BC2"/>
    <w:rsid w:val="00AE13F5"/>
    <w:rsid w:val="00AF33F6"/>
    <w:rsid w:val="00AF4734"/>
    <w:rsid w:val="00AF6778"/>
    <w:rsid w:val="00B06121"/>
    <w:rsid w:val="00B1077E"/>
    <w:rsid w:val="00B3376B"/>
    <w:rsid w:val="00B4482C"/>
    <w:rsid w:val="00B53656"/>
    <w:rsid w:val="00B54E3F"/>
    <w:rsid w:val="00B669A0"/>
    <w:rsid w:val="00B751AA"/>
    <w:rsid w:val="00B837B5"/>
    <w:rsid w:val="00B8626C"/>
    <w:rsid w:val="00B92E78"/>
    <w:rsid w:val="00B94426"/>
    <w:rsid w:val="00BB67D7"/>
    <w:rsid w:val="00BC1D9A"/>
    <w:rsid w:val="00BF199A"/>
    <w:rsid w:val="00C07952"/>
    <w:rsid w:val="00C206C5"/>
    <w:rsid w:val="00C21B69"/>
    <w:rsid w:val="00C25048"/>
    <w:rsid w:val="00C34944"/>
    <w:rsid w:val="00C357C2"/>
    <w:rsid w:val="00C46DCD"/>
    <w:rsid w:val="00C5007B"/>
    <w:rsid w:val="00C55193"/>
    <w:rsid w:val="00C91D1B"/>
    <w:rsid w:val="00CB73BB"/>
    <w:rsid w:val="00CC6B37"/>
    <w:rsid w:val="00CD1815"/>
    <w:rsid w:val="00CD7A88"/>
    <w:rsid w:val="00CE4C75"/>
    <w:rsid w:val="00CF698C"/>
    <w:rsid w:val="00D002BC"/>
    <w:rsid w:val="00D027D9"/>
    <w:rsid w:val="00D17788"/>
    <w:rsid w:val="00D213F6"/>
    <w:rsid w:val="00D6657B"/>
    <w:rsid w:val="00D76481"/>
    <w:rsid w:val="00D776C3"/>
    <w:rsid w:val="00D848D8"/>
    <w:rsid w:val="00D87626"/>
    <w:rsid w:val="00DA2342"/>
    <w:rsid w:val="00DC04CC"/>
    <w:rsid w:val="00DC2228"/>
    <w:rsid w:val="00DC36E4"/>
    <w:rsid w:val="00DC49B7"/>
    <w:rsid w:val="00DC5B32"/>
    <w:rsid w:val="00DD1A75"/>
    <w:rsid w:val="00DD51BC"/>
    <w:rsid w:val="00DE2240"/>
    <w:rsid w:val="00DF181A"/>
    <w:rsid w:val="00E14E2A"/>
    <w:rsid w:val="00E33076"/>
    <w:rsid w:val="00E47C44"/>
    <w:rsid w:val="00E70E81"/>
    <w:rsid w:val="00E7390A"/>
    <w:rsid w:val="00E7579B"/>
    <w:rsid w:val="00E75F98"/>
    <w:rsid w:val="00E85BC4"/>
    <w:rsid w:val="00E87A2E"/>
    <w:rsid w:val="00E92C99"/>
    <w:rsid w:val="00E943EC"/>
    <w:rsid w:val="00EA5201"/>
    <w:rsid w:val="00EB0581"/>
    <w:rsid w:val="00ED5335"/>
    <w:rsid w:val="00ED7A10"/>
    <w:rsid w:val="00EE6A52"/>
    <w:rsid w:val="00EF2BDF"/>
    <w:rsid w:val="00EF36D6"/>
    <w:rsid w:val="00EF4DF8"/>
    <w:rsid w:val="00F302ED"/>
    <w:rsid w:val="00F464F2"/>
    <w:rsid w:val="00F7351E"/>
    <w:rsid w:val="00F767DF"/>
    <w:rsid w:val="00F7725E"/>
    <w:rsid w:val="00FD0C32"/>
    <w:rsid w:val="00FE1807"/>
    <w:rsid w:val="00FF16F1"/>
    <w:rsid w:val="00FF410C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C06DA"/>
  <w15:chartTrackingRefBased/>
  <w15:docId w15:val="{C68F1EC3-8FFB-4F2F-ABA3-12EB3CEF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C7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57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09C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809CC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B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BD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6BD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0F74F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F74F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F74F4"/>
    <w:rPr>
      <w:vertAlign w:val="superscript"/>
    </w:rPr>
  </w:style>
  <w:style w:type="paragraph" w:styleId="Header">
    <w:name w:val="header"/>
    <w:aliases w:val="6_G"/>
    <w:basedOn w:val="Normal"/>
    <w:link w:val="HeaderChar"/>
    <w:unhideWhenUsed/>
    <w:rsid w:val="00997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6_G Char"/>
    <w:basedOn w:val="DefaultParagraphFont"/>
    <w:link w:val="Header"/>
    <w:rsid w:val="00997215"/>
  </w:style>
  <w:style w:type="paragraph" w:styleId="Footer">
    <w:name w:val="footer"/>
    <w:basedOn w:val="Normal"/>
    <w:link w:val="FooterChar"/>
    <w:uiPriority w:val="99"/>
    <w:unhideWhenUsed/>
    <w:rsid w:val="00997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215"/>
  </w:style>
  <w:style w:type="character" w:styleId="FollowedHyperlink">
    <w:name w:val="FollowedHyperlink"/>
    <w:basedOn w:val="DefaultParagraphFont"/>
    <w:uiPriority w:val="99"/>
    <w:semiHidden/>
    <w:unhideWhenUsed/>
    <w:rsid w:val="008A1B7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CC6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5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55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55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5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5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599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EA5201"/>
    <w:rPr>
      <w:b/>
      <w:bCs/>
    </w:rPr>
  </w:style>
  <w:style w:type="character" w:customStyle="1" w:styleId="highlight">
    <w:name w:val="highlight"/>
    <w:basedOn w:val="DefaultParagraphFont"/>
    <w:rsid w:val="00B06121"/>
  </w:style>
  <w:style w:type="character" w:customStyle="1" w:styleId="lblnewsfulltext">
    <w:name w:val="lblnewsfulltext"/>
    <w:basedOn w:val="DefaultParagraphFont"/>
    <w:rsid w:val="00252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73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300078">
                          <w:marLeft w:val="1200"/>
                          <w:marRight w:val="120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44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6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ndocs.org/A/HRC/47/3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A8AC42923E4B4689AA3F4BC71C9076" ma:contentTypeVersion="4" ma:contentTypeDescription="Create a new document." ma:contentTypeScope="" ma:versionID="04aa836d353562bbcb888e99e93cbc98">
  <xsd:schema xmlns:xsd="http://www.w3.org/2001/XMLSchema" xmlns:xs="http://www.w3.org/2001/XMLSchema" xmlns:p="http://schemas.microsoft.com/office/2006/metadata/properties" xmlns:ns2="9e7a892e-3f44-4f43-afda-1bb9b87abd5a" targetNamespace="http://schemas.microsoft.com/office/2006/metadata/properties" ma:root="true" ma:fieldsID="261ed7d34d42a9ca5a60cca5a534e22c" ns2:_="">
    <xsd:import namespace="9e7a892e-3f44-4f43-afda-1bb9b87abd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a892e-3f44-4f43-afda-1bb9b87abd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E9EB1-6042-474D-AD04-7F6820A431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9EFE38-4F1A-4F74-B298-F2EE0CFB8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205B6B-8D97-4CA7-A794-1322BF206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a892e-3f44-4f43-afda-1bb9b87ab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E1F9B2-6B5E-4077-ABBE-71B5C199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 Human Rights Regional Office for Europe</dc:creator>
  <cp:keywords/>
  <dc:description/>
  <cp:lastModifiedBy>ROE</cp:lastModifiedBy>
  <cp:revision>2</cp:revision>
  <dcterms:created xsi:type="dcterms:W3CDTF">2022-03-03T20:35:00Z</dcterms:created>
  <dcterms:modified xsi:type="dcterms:W3CDTF">2022-03-03T20:35:00Z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0x01010037A8AC42923E4B4689AA3F4BC71C9076</vt:lpwstr>
  </property>
</Properties>
</file>